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7DE" w:rsidRPr="00C30E04" w:rsidRDefault="00E919E7" w:rsidP="002627D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0E04">
        <w:rPr>
          <w:rFonts w:ascii="Times New Roman" w:hAnsi="Times New Roman" w:cs="Times New Roman"/>
          <w:sz w:val="24"/>
          <w:szCs w:val="24"/>
        </w:rPr>
        <w:t>МБОУ «Херсоновская ООШ»</w:t>
      </w:r>
    </w:p>
    <w:p w:rsidR="002627DE" w:rsidRPr="00C30E04" w:rsidRDefault="002627DE" w:rsidP="00C30E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E04">
        <w:rPr>
          <w:rFonts w:ascii="Times New Roman" w:hAnsi="Times New Roman" w:cs="Times New Roman"/>
          <w:sz w:val="24"/>
          <w:szCs w:val="24"/>
        </w:rPr>
        <w:t>«</w:t>
      </w:r>
      <w:r w:rsidRPr="00C30E04">
        <w:rPr>
          <w:rFonts w:ascii="Times New Roman" w:hAnsi="Times New Roman" w:cs="Times New Roman"/>
          <w:b/>
          <w:bCs/>
          <w:sz w:val="24"/>
          <w:szCs w:val="24"/>
        </w:rPr>
        <w:t>Сведения о параметрах реализации национальной образовательной инициативы «Наша новая школа» в 2013 г. (ННШ-С)</w:t>
      </w:r>
    </w:p>
    <w:tbl>
      <w:tblPr>
        <w:tblpPr w:leftFromText="180" w:rightFromText="180" w:vertAnchor="text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7087"/>
        <w:gridCol w:w="1560"/>
      </w:tblGrid>
      <w:tr w:rsidR="002627DE" w:rsidRPr="00C30E04" w:rsidTr="00E919E7">
        <w:trPr>
          <w:trHeight w:val="835"/>
          <w:tblHeader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показателя</w:t>
            </w:r>
          </w:p>
        </w:tc>
      </w:tr>
      <w:tr w:rsidR="002627DE" w:rsidRPr="00C30E04" w:rsidTr="00E919E7">
        <w:tc>
          <w:tcPr>
            <w:tcW w:w="851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ПОКАЗАТЕЛИ</w:t>
            </w:r>
          </w:p>
        </w:tc>
        <w:tc>
          <w:tcPr>
            <w:tcW w:w="1560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общеобразовательных учреждений на декабрь отчетного года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общеобразовательных учреждений сельской местности на декабрь отчетного года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общеобразовательных учреждений городской местности на декабрь отчетного года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учителей в общеобразовательных учреждениях на декабрь отчетного года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численность внешних совместителей на декабрь отчетного года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численность внутренних совместителей на декабрь отчетного года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учителей в городских общеобразовательных учреждениях на декабрь отчетного года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учителей в сельских общеобразовательных учреждениях на декабрь отчетного года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выпускников 9-x классов, получивших аттестат с отличием, в общей численности выпускников 9-x классов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9 классов, поступивших в профессиональные образовательные организации или на профильное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полного (общего) образования, в общей численности выпускников 9 классов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в профессиональные образовательные организации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на профильное </w:t>
            </w:r>
            <w:proofErr w:type="gram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обучение по программам</w:t>
            </w:r>
            <w:proofErr w:type="gramEnd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среднего полного (общего) образования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11(12) классов, получивших аттестат об общем образовании, в общей численности выпускников 11 (12) классов, в том числе: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получивших</w:t>
            </w:r>
            <w:proofErr w:type="gramEnd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аттестат о среднем (полном) общем образовании для награжденных золотой и серебряной медалью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(в общей численности выпускников), сдававших  ЕГЭ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560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русскому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математике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физике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химии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биологии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истории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географии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английскому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немецкому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французскому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испанскому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обществознанию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1.6.13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литературе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1.6.14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информатике и ИКТ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Средний тестовый балл ЕГЭ выпускников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русскому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математике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физике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химии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биологии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.7.6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истории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географии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английскому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немецкому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испанскому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французскому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обществознанию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1.7.13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литературе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1.7.14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информатике и ИКТ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выпускников, сдававших ЕГЭ и набравших от 61 до 79 баллов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русскому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математике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физике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химии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биологии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истории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географии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английскому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немецкому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испанскому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французскому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обществознанию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1.8.13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литературе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1.8.14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информатике и ИКТ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выпускников, сдававших ЕГЭ и набравших от 80 до 100 баллов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русскому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математике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физике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химии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биологии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истории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географии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английскому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немецкому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испанскому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французскому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обществознанию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1.9.13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литературе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1.9.14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информатике и ИКТ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выпускников, сдавших ЕГЭ на 100 баллов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русскому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математике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физике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химии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биологии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истории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географии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английскому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немецкому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испанскому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французскому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обществознанию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1.10.13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литературе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1.10.14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информатике и ИКТ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выпускников, сдававших ЕГЭ и не преодолевших минимального порога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русскому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математике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физике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химии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биологии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истории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географии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английскому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немецкому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испанскому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французскому языку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обществознанию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1.11.13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литературе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1.11.14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информатике и ИКТ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11 классов, обучавшихся в классах с углубленным или профильным изучением отдельных предметов, в общей численности выпускников 11 классов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11 классов, обучавшихся в классах с углубленным изучением отдельных предметов, в общей численности выпускников 11 классов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классов, обучавшихся в профильных классах, в общей численности выпускников 11 классов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BFBFBF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Переход на новые образовательные стандарты</w:t>
            </w:r>
          </w:p>
        </w:tc>
        <w:tc>
          <w:tcPr>
            <w:tcW w:w="1560" w:type="dxa"/>
            <w:shd w:val="clear" w:color="auto" w:fill="BFBFBF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учащихся, обучающихся по ФГОС (в общей численности учащихся  общеобразовательных учреждений, реализующих ФГОС)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учащихся начальных классов, обучающихся по ФГОС (в общей численности учащихся начальных классов  общеобразовательных учреждений, реализующих ФГОС)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учащихся основной школы, обучающихся по ФГОС (в общей численности учащихся основной школы  общеобразовательных учреждений, реализующих ФГОС)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учащихся старшей школы, обучающихся по ФГОС (в общей численности учащихся старшей школы  общеобразовательных учреждений, реализующих ФГОС)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Среднее количество часов в неделю внеурочной деятельности в классах начальной школы, обучающихся по ФГОС,  за счет: 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бюджетного финансирования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внебюджетного финансирования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сочетания бюджетного и внебюджетного финансирования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Среднее количество часов в неделю внеурочной деятельности в классах основной школы,  обучающихся по ФГОС в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пилотном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режиме,  за счет: 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бюджетного финансирования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внебюджетного финансирования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сочетания бюджетного и внебюджетного финансирования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Среднее количество часов в неделю внеурочной деятельности в классах начальной школы, обучающихся по ФГОС  в том числе, отведенных на направления: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спортивно- оздоровительное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духовно-нравственное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общекультурное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2.4.6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другие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Среднее количество часов в неделю внеурочной деятельности в классах основной школы, обучающихся по ФГОС в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пилотном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режиме, в том числе, отведенных на направления: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2.5.1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спортивно- оздоровительное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2.5.2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духовно-нравственное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2.5.4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2.5.5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общекультурное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2.5.6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другие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 общеобразовательных учреждений, в которых используются современные оценочные процедуры для оценки достижений обучающихся по ФГОС в начальных классах: 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2.6.1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механизмы накопительной системы оценивания (</w:t>
            </w:r>
            <w:proofErr w:type="spell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портфолио</w:t>
            </w:r>
            <w:proofErr w:type="spellEnd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др.)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2.6.2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проектные, творческие исследовательские работы и др.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2.6.3.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 иные виды оценивания, отличные от пятибалльной системы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Del="00482D1A" w:rsidRDefault="002627DE" w:rsidP="00E919E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по ФГОС, которым обеспечена возможность пользоваться в соответствии с ФГОС, в общей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ФГОС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- учебным оборудованием для практических работ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Del="00482D1A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- интерактивными учебными пособиями (доска,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и др.)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учреждений, в которых для обучающихся по ФГОС в начальных классах, организованы оборудованные постоянно действующие площадки: </w:t>
            </w:r>
            <w:proofErr w:type="gramEnd"/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2.8.1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площадки для наблюдений, исследований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2.8.2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площадки для моделирования, конструирования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2.8.3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tabs>
                <w:tab w:val="left" w:pos="3453"/>
              </w:tabs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театральная площадка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В регионе действует нормативный акт, в котором утверждена  структура норматива на ФОТ и учебные расходы на обеспечение условий реализации ФГОС начального общего образования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руководителей и педагогических работников общеобразовательных учреждений, прошедших повышение квалификации и/или профессиональную переподготовку для работы в соответствии с ФГОС, в общей численности руководителей и педагогических работников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40 %</w:t>
            </w:r>
          </w:p>
        </w:tc>
      </w:tr>
      <w:tr w:rsidR="002627DE" w:rsidRPr="00C30E04" w:rsidTr="00E919E7">
        <w:tc>
          <w:tcPr>
            <w:tcW w:w="851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BFBFBF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Развитие системы поддержки талантливых детей</w:t>
            </w:r>
          </w:p>
        </w:tc>
        <w:tc>
          <w:tcPr>
            <w:tcW w:w="1560" w:type="dxa"/>
            <w:shd w:val="clear" w:color="auto" w:fill="BFBFBF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Школьный этап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5-11 классов, принявших участие в школьном этапе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5-11 классов, принявших участие в школьном этапе Всероссийской олимпиады школьников, в общей численности обучающихся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5-11 классов, принявших участие  в школьном этапе Всероссийской олимпиады школьников, в общей </w:t>
            </w: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обучающихся 5-11 классов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86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этап Всероссийской олимпиады школьников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7-11 классов, принявших участие в муниципальном этапе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19E7"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7-11 классов, принявших участие в муниципальном этапе Всероссийской олимпиады школьников, в общей численности обучающихся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3,5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 7-11 классов, принявших участие в муниципальном этапе Всероссийской олимпиады школьников, в общей численности обучающихся 7-11 классов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12,5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Численность обучающихся 7-11 классов, ставших победителями и призерами муниципального этапа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Доля обучающихся 7-11 классов, ставших победителями и призерами муниципального этапа Всероссийской олимпиады школьников (в общей численности учащихся 7-11 классов)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призовых мест, занятых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7-11 классов на муниципальном этапе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призовых мест на одного обучающегося, ставшего победителем и/или призером в муниципальном этапе Всероссийской олимпиады школьников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Региональный этап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 обучающихся 9-11 классов, принявших участие в региональном этапе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E919E7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 9-11 классов, принявших участие в региональном этапе Всероссийской олимпиады школьников, в общей численности обучающихся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 обучающихся 9-11 классов, принявших участие в региональном этапе Всероссийской олимпиады школьников, в общей численности  обучающихся 9-11 классов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Число обучающихся 9-11 классов, принявших участие в региональном этапе Всероссийской олимпиады школьников на каждые 10000 обучающихся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 обучающихся 9-11 классов, ставших победителями и призерами регионального этапа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 9-11 классов, ставших победителями и призерами регионального этапа Всероссийской олимпиады школьников, в общей численности обучающихся 9-11 классов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призовых мест в предметных олимпиадах, занятых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9-11 классов на региональном этапе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3.3.8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призовых мест на одного обучающегося, ставшего победителем и/или призером в региональном этапе Всероссийской олимпиады школьников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Заключительный этап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9-11 классов, принявших участие в заключительном этапе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 9-11 классов, принявших участие в заключительном этапе Всероссийской олимпиады школьников, в общей численности  обучающихся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 9-11 классов, принявших участие в заключительном этапе Всероссийской олимпиады школьников, в общей численности обучающихся 9-11 классов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3.4.4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Число обучающихся 9-11 классов, принявших участие в заключительном этапе Всероссийской олимпиады школьников на каждые 10 000 обучающихся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3.4.5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 обучающихся 9-11 классов, ставших победителями и призерами заключительного этапа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3.4.6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9-11 классов, ставших победителями и призерами заключительного этапа Всероссийской олимпиады школьников, в общей численности обучающихся 9-11 классов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3.4.7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призовых мест, занятых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9-11 классов на заключительном этапе Всероссийской олимпиады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3.4.8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призовых мест на одного обучающегося, ставшего победителем и/или призером заключительного этапа Всероссийской олимпиады школьников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7142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Очные и дистанционные олимпиады, проводимые сторонними организациями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обучающихся, при</w:t>
            </w:r>
            <w:r w:rsidR="0097142E" w:rsidRPr="00C30E0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явших участие в очных олимпиадах для школьников (кроме Всероссийской олимпиады школьников), проводимых сторонними организациями и </w:t>
            </w: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приявших участие в очных олимпиадах для школьников (кроме Всероссийской олимпиады школьников), проводимых сторонними организациями и учреждениями, в общей численности обучающихся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3.5.3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призовых мест, занятых  обучающимися в очных олимпиадах для школьников (кроме Всероссийской олимпиады школьников), проводимых сторонними организациями и учреждениями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3.5.4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 обучающихся, ставших победителями и призерами в очных олимпиадах для школьников (кроме Всероссийской олимпиады школьников), проводимых сторонними организациями и учреждениями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3.5.5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ставших победителями и призерами в очных олимпиадах для школьников (кроме Всероссийской олимпиады школьников), проводимых сторонними организациями и учреждениями, в общей численности обучающихся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3.5.6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 обучающихся, ставших победителями и призерами в очных олимпиадах для школьников (кроме Всероссийской олимпиады школьников), проводимых сторонними организациями и учреждениями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3.5.7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обучающихся, приявших участие в дистанционных олимпиадах, проводимых сторонними организациями и учреждениями, в общей численности обучающихся</w:t>
            </w:r>
            <w:proofErr w:type="gram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3.5.8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Количество призовых мест, занятых учащимися в дистанционных олимпиадах, проводимых сторонними организациями и учреждениями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3.5.9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 обучающихся, ставших победителями и призерами в дистанционных олимпиадах для школьников, проводимых сторонними организациями и учреждениями</w:t>
            </w:r>
            <w:proofErr w:type="gram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3.5.10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ставших победителями и призерами в дистанционных олимпиадах для школьников, проводимых сторонними организациями и учреждениями, в общей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общеобразовательных учреждениях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Поддержка и сопровождение талантливых детей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которым созданы условия для занятий творчеством (в общей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обучающихся) в специально оборудованных: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3.6.1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студиях</w:t>
            </w:r>
            <w:proofErr w:type="gram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3.6.2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актовых </w:t>
            </w:r>
            <w:proofErr w:type="gram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залах</w:t>
            </w:r>
            <w:proofErr w:type="gram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rPr>
          <w:trHeight w:val="740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Объем финансовых средств, целенаправленно выделенных на поддержку одаренных детей и талантливой молодежи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3.7.1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 федерального бюджета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3.7.2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 регионального бюджета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общеобразовательных учреждениях, которым оказана поддержка в рамках программ поддержки одаренных детей и талантливой молодежи 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3.8.1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федеральном уровне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148A"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3.8.2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региональном  уровне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1A1D0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субъекта Российской Федерации утверждены нормативно-правовые акты, закрепляющие методику расчета норматива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подушевого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 на педагогическое сопровождение развития (образования) талантливых (одаренных) детей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2627DE" w:rsidRPr="00C30E04" w:rsidTr="00E919E7">
        <w:tc>
          <w:tcPr>
            <w:tcW w:w="851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BFBFBF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Совершенствование учительского корпуса</w:t>
            </w:r>
          </w:p>
        </w:tc>
        <w:tc>
          <w:tcPr>
            <w:tcW w:w="1560" w:type="dxa"/>
            <w:shd w:val="clear" w:color="auto" w:fill="BFBFBF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прошедших аттестацию на подтверждение занимаемой должности, в общей численности педагогических работников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аттестацию на присвоение квалификационной категории (первой и высшей), в общей численности педагогических работников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аттестацию на присвоение первой квалификационной категории, в общей численности педагогических работников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аттестацию на присвоение высшей квалификационной категории, в общей численности педагогических работников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работников общеобразовательных учреждений за отчетный год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- учителей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4.5.2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- управленческого персонала (директор и заместители директора)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4.5.3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- прочих педагогических работников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педагогических работников (учителей и прочих педагогических работников), принятых на работу в текущем году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педагогических работников (учителей и прочих педагогических работников), принятых на работу в текущем году и поддержанных на уровне субъекта РФ разовыми выплатами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педагогических работников (учителей и прочих педагогических работников), принятых на работу в текущем году и включенных в программу по поддержке молодых специалистов выплатами на период от 2-х и более лет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педагогических работников (учителей и прочих педагогических работников), принятых на работу в текущем году в общеобразовательные учреждения, расположенные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4.9.1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сельской местности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4.9.2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городской местности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педагогических работников (учителей и прочих педагогических работников), принятых на работу в текущем году и обеспеченных жильем (общежитие, отдельная квартира)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4.10.1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отдельной благоустроенной квартирой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4.10.2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общежитием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учителей в общей численности персонала общеобразовательных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управленческих кадров в общей численности работников общеобразовательных учреждений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общеобразовательных учреждений педагогическими кадрами, имеющими высшее профессиональное образование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учителей в возрасте до 30 лет в общей численности учителей общеобразовательных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учителей, которые являются наставниками для молодых специалистов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Численность учителей, которые являются наставниками для молодых специалистов и которым в отчетном году была оказана моральная поддержка (присвоение званий, награждение и т.д.)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учителей, которые являются наставниками для молодых специалистов и которым в отчетном году была оказана материальная поддержка (доплаты из стимулирующей части фонда заработной платы, выплаты по отдельно принятым нормативным правовым актам и т.д.)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учителей, работающих в созданных в субъекте Российской Федерации профессиональных сообществах </w:t>
            </w: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(ассоциации учителей-предметников иные общественные профессиональные объединения)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Количество работающих в субъекте Российской Федерации профессиональных сообществ (ассоциации учителей-предметников иные общественные профессиональные объединения)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(учителей и прочих педагогических работников),  прошедших в истекшем учебном году курсы повышения квалификации в общей численности педагогических работников (учителей и прочих педагогических работников) общеобразовательных учреждений, в том числе: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персонифицированной модели повышения квалификации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 Изменение школьной инфраструктуры</w:t>
            </w:r>
          </w:p>
        </w:tc>
        <w:tc>
          <w:tcPr>
            <w:tcW w:w="1560" w:type="dxa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Количество негосударственных общеобразовательных учреждений, которым обеспечен доступ к бюджетному финансированию по нормативу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негосударственных общеобразовательных учреждений, которым обеспечен доступ к бюджетному финансированию по нормативу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Средняя наполняемость старшей ступени в государственных (муниципальных) общеобразовательных учреждениях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color w:val="434343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color w:val="434343"/>
                <w:sz w:val="24"/>
                <w:szCs w:val="24"/>
              </w:rPr>
              <w:t xml:space="preserve">Доля обучающихся, </w:t>
            </w:r>
            <w:proofErr w:type="gramStart"/>
            <w:r w:rsidRPr="00C30E04">
              <w:rPr>
                <w:rFonts w:ascii="Times New Roman" w:hAnsi="Times New Roman" w:cs="Times New Roman"/>
                <w:color w:val="434343"/>
                <w:sz w:val="24"/>
                <w:szCs w:val="24"/>
              </w:rPr>
              <w:t>которым</w:t>
            </w:r>
            <w:proofErr w:type="gramEnd"/>
            <w:r w:rsidRPr="00C30E04">
              <w:rPr>
                <w:rFonts w:ascii="Times New Roman" w:hAnsi="Times New Roman" w:cs="Times New Roman"/>
                <w:color w:val="434343"/>
                <w:sz w:val="24"/>
                <w:szCs w:val="24"/>
              </w:rPr>
              <w:t xml:space="preserve"> предоставлены основные виды современных условий обучения: 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5.4.1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  <w:t>от 0% до 20% условий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5.4.2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  <w:t>от 20% до 40% условий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5.4.3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  <w:t>от 40% до 60% условий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5.4.4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  <w:t>от 60% до 80% условий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5.4.5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  <w:t>от 80% до 100% условий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, которые имеют возможность пользоваться современной библиотекой (от общей численности обучающихся)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5.5.1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читальный зал библиотеки/</w:t>
            </w:r>
            <w:proofErr w:type="spell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медиатеки</w:t>
            </w:r>
            <w:proofErr w:type="spellEnd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 числом рабочих мест не менее 25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5.5.2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обеспечением возможности работы на стационарных компьютерах или использования переносных компьютеров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5.5.3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</w:t>
            </w:r>
            <w:proofErr w:type="spell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оснащенную</w:t>
            </w:r>
            <w:proofErr w:type="gramEnd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средствами сканирования и распознавания текстов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5.5.5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выходом в Интернет с компьютеров, расположенных в помещении библиотеки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5.5.6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контролируемой распечаткой бумажных материалов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 контролируемым копированием бумажных материалов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tabs>
                <w:tab w:val="left" w:pos="3453"/>
              </w:tabs>
              <w:jc w:val="both"/>
              <w:rPr>
                <w:rFonts w:ascii="Times New Roman" w:hAnsi="Times New Roman" w:cs="Times New Roman"/>
                <w:i/>
                <w:iCs/>
                <w:color w:val="434343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которым обеспечена возможность пользоваться широкополосным Интернетом (не менее 2 Мб/с), от общей численности обучающихся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школ, имеющих широкополосный Интернет (не менее 2 Мб/с)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детей-инвалидов, получающих образование на дому с использованием дистанционных образовательных технологий, от общего числа детей-инвалидов, которым  показано обучение на дому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детей-инвалидов, получающих образование на дому с использованием дистанционных образовательных технологий, от общего числа детей-инвалидов, которым  показано обучение на дому с использованием дистанционных технологий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10-11(12) классов общеобразовательных учреждений, обучающихся в отдельных зданиях общеобразовательных учреждений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Количество построенных новых школ в отчетном году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новых школах </w:t>
            </w:r>
            <w:proofErr w:type="gram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построенных новых спортивных залов при школах в отчетном году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Количество школ, в которых в отчетном году проведен капитальный ремонт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сельских школьников, которым  обеспечен ежедневный подвоз в базовые школы, в общей численности сельских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городских школьников, которым обеспечен ежедневный подвоз в базовые школы, в общей численности городских школьников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имеющих учебно-производственные мастерские, в общем количестве общеобразовательных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 в общеобразовательных учреждениях, имеющих учебно-производственные мастерские, в общей численности учащихся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Сохранение и укрепление здоровья школьников</w:t>
            </w:r>
          </w:p>
        </w:tc>
        <w:tc>
          <w:tcPr>
            <w:tcW w:w="1560" w:type="dxa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зданий общеобразовательных учреждений, в которых обеспечена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среда для детей с ограниченными возможностями здоровья, от общего количества зданий общеобразовательных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rPr>
          <w:trHeight w:val="1063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обеспечена возможность пользоваться столовыми, в которых выполнены все перечисленные требования: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собственная (на условиях договора пользования) столовая или зал для приема пищи с площадью в соответствии с </w:t>
            </w:r>
            <w:proofErr w:type="spellStart"/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СанПиН</w:t>
            </w:r>
            <w:proofErr w:type="spell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наличие сотрудников, квалифицированных для работы на современном технологическом оборудовании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6.2.4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помещение столовой не требует ремонта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6.2.5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современно оформленный зал для приема пищи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осуществляется реализация образовательных программ по формированию культуры здорового питания, от общего количества общеобразовательных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, которые получают качественное горячее питание, в общей численности обучающихся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6.4.1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только горячие завтраки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6.4.2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только горячие обеды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6.4.3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горячие завтраки и обеды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, которые получают качественное горячее питание, в общей численности обучающихся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6.5.1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только горячие завтраки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6.5.2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только горячие обеды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6.5.3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горячие завтраки и обеды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учреждений, в которых созданы условия для реализации федеральных требований к общеобразовательным учреждениям в части охраны здоровья </w:t>
            </w: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воспитанников: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 0% до 20%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6.6.2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 20% до 40%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6.6.3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 40% до 60%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6.6.4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 60% до 80%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6.6.6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 80% до 100%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Del="000C407A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Del="000C407A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Del="000C407A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обучающихся, которым созданы современные условия для занятий физической культурой, в том числе обеспечена возможность пользоваться современно оборудованными спортзалами и спортплощадками</w:t>
            </w:r>
            <w:proofErr w:type="gram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Del="000C407A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обеспечена возможность пользоваться универсальными спортивными залами со следующими характеристиками: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6.7.1.1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собственный спортивный зал или спортивный зал на условиях договора пользования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6.7.1.2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площадь зала для занятий не менее 9х18м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6.7.1.3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высота зала не менее 6 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6.7.1.4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оборудованные раздевалки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6.7.1.5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действующие душевые комнаты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6.7.1.6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действующие туалеты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BA104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обучающихся, которым обеспечена возможность пользоваться оборудованными спортивными площадками для реализации программы «Легкая атлетика» (с учетом климатических условий) со следующими характеристиками:</w:t>
            </w:r>
            <w:proofErr w:type="gramEnd"/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6.7.2.1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собственная оборудованная территория или на условиях договора пользования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6.7.2.2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размеченные дорожки для бега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6.7.2.3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дорожки для бега со специальным покрытием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6.7.2.4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оборудованный сектор для метания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6.7.2.5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оборудованный сектор для прыжков в длину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93148A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учреждений,  в которых предусмотрено более 3-х часов физической культуры в неделю, от общего количества общеобразовательных учреждений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обучающихся, в образовательном плане которых предусмотрено более 3 часов занятий физической культуры в неделю, в общей численности обучающихся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обучающихся в зданиях, в которых обеспечено медицинское обслуживание, включая наличие лицензионных медицинских кабинетов и не менее 1 квалифицированного медицинского работника, в том числе: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6.10.1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собственный лицензионный медицинский кабинет или на условиях договора пользования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6.10.2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имеется  не менее 1 квалифицированного медицинского работника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D9D9D9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Развитие самостоятельности школ</w:t>
            </w:r>
          </w:p>
        </w:tc>
        <w:tc>
          <w:tcPr>
            <w:tcW w:w="1560" w:type="dxa"/>
            <w:shd w:val="clear" w:color="auto" w:fill="D9D9D9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учреждений, перешедших на нормативное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подушевое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финансирование в соответствии с модельной методикой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учреждений, перешедших на новую систему оплаты труда в соответствии с модельной методикой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автономных общеобразовательных учреждений от общего числа государственных (муниципальных) общеобразовательных учреждений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бюджетных  общеобразовательных учреждений от общего числа государственных (муниципальных) общеобразовательных учреждений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 казенных  общеобразовательных учреждений от общего числа государственных (муниципальных) общеобразовательных учреждений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090C83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учреждений, которые представили общественности публичный доклад и/или отчет о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самообследовании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обеспечивающий открытость и прозрачность деятельности учреждения, от общего количества </w:t>
            </w: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7.7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учреждений, которые представили общественности публичный доклад и/или отчет о </w:t>
            </w: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самообследовании</w:t>
            </w:r>
            <w:proofErr w:type="spellEnd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, при наличии технической возможности размещенный в сети Интернет, от общего количества общеобразовательных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взаимодействие с родителями осуществляется посредством постоянно-действующих реальных и виртуальных переговорных площадок (форум на сайте образовательного учреждения, общественная родительская организация, лекторий, семинар и др.), от общего количества общеобразовательных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созданы органы государственно-общественного управления, от общего числа 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 (от общего количества общеобразовательных учреждений), в которых органы государственно-общественного управления принимают участие в разработке и утверждении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7.10.1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основных образовательных программ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7.10.2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программ развития образовательного учреждения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7.10.3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иных нормативно-правовых актов школы и программ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7.10.4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планов финансово-хозяйственной деятельности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 (от общего количества общеобразовательных учреждений), перешедших на электронный документооборот (электронные системы управления)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7.11.1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электронный дневник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7.11.2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электронный журнал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7.11.3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электронная учительская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627DE" w:rsidRPr="00C30E04" w:rsidTr="00E919E7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7DE" w:rsidRPr="00C30E04" w:rsidRDefault="002627DE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7DE" w:rsidRPr="00C30E04" w:rsidRDefault="002627DE" w:rsidP="00E9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предоставляющих некоторые образовательные услуги в электронном виде (запись в школу, ответы на обращения и др.), от общего количества общеобразовательных учреждений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27DE" w:rsidRPr="00C30E04" w:rsidRDefault="007F07C5" w:rsidP="00E91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627DE" w:rsidRPr="00C30E0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627DE" w:rsidRPr="00C30E04" w:rsidRDefault="002627DE" w:rsidP="002627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627DE" w:rsidRPr="00C30E04" w:rsidRDefault="006F09B4" w:rsidP="002627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131" w:rsidRDefault="001D7131"/>
    <w:sectPr w:rsidR="001D7131" w:rsidSect="00E919E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258E45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2036BDC"/>
    <w:multiLevelType w:val="hybridMultilevel"/>
    <w:tmpl w:val="D8CC8D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D1630"/>
    <w:multiLevelType w:val="hybridMultilevel"/>
    <w:tmpl w:val="19CACE84"/>
    <w:lvl w:ilvl="0" w:tplc="D30AA1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143887"/>
    <w:multiLevelType w:val="hybridMultilevel"/>
    <w:tmpl w:val="F4FCEA28"/>
    <w:lvl w:ilvl="0" w:tplc="A48E7E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B1175"/>
    <w:multiLevelType w:val="hybridMultilevel"/>
    <w:tmpl w:val="F4FCEA28"/>
    <w:lvl w:ilvl="0" w:tplc="A48E7E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03C4E"/>
    <w:multiLevelType w:val="hybridMultilevel"/>
    <w:tmpl w:val="D8B4264C"/>
    <w:lvl w:ilvl="0" w:tplc="94DC3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4563F"/>
    <w:multiLevelType w:val="hybridMultilevel"/>
    <w:tmpl w:val="0F2A0F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6E90094"/>
    <w:multiLevelType w:val="hybridMultilevel"/>
    <w:tmpl w:val="19CACE84"/>
    <w:lvl w:ilvl="0" w:tplc="D30AA1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930BF"/>
    <w:multiLevelType w:val="hybridMultilevel"/>
    <w:tmpl w:val="F4FCEA28"/>
    <w:lvl w:ilvl="0" w:tplc="A48E7E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B2035"/>
    <w:multiLevelType w:val="hybridMultilevel"/>
    <w:tmpl w:val="F4FCEA28"/>
    <w:lvl w:ilvl="0" w:tplc="A48E7E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34194"/>
    <w:multiLevelType w:val="hybridMultilevel"/>
    <w:tmpl w:val="F4FCEA28"/>
    <w:lvl w:ilvl="0" w:tplc="A48E7E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06EF2"/>
    <w:multiLevelType w:val="hybridMultilevel"/>
    <w:tmpl w:val="F4FCEA28"/>
    <w:lvl w:ilvl="0" w:tplc="A48E7E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E7BA3"/>
    <w:multiLevelType w:val="hybridMultilevel"/>
    <w:tmpl w:val="19CACE84"/>
    <w:lvl w:ilvl="0" w:tplc="D30AA1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4D0254"/>
    <w:multiLevelType w:val="hybridMultilevel"/>
    <w:tmpl w:val="3AF67E50"/>
    <w:lvl w:ilvl="0" w:tplc="A48E7E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2122C8"/>
    <w:multiLevelType w:val="hybridMultilevel"/>
    <w:tmpl w:val="F4FCEA28"/>
    <w:lvl w:ilvl="0" w:tplc="A48E7E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174A6"/>
    <w:multiLevelType w:val="hybridMultilevel"/>
    <w:tmpl w:val="F4FCEA28"/>
    <w:lvl w:ilvl="0" w:tplc="A48E7E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DF7085"/>
    <w:multiLevelType w:val="hybridMultilevel"/>
    <w:tmpl w:val="19CACE84"/>
    <w:lvl w:ilvl="0" w:tplc="D30AA1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6"/>
  </w:num>
  <w:num w:numId="3">
    <w:abstractNumId w:val="12"/>
  </w:num>
  <w:num w:numId="4">
    <w:abstractNumId w:val="10"/>
  </w:num>
  <w:num w:numId="5">
    <w:abstractNumId w:val="3"/>
  </w:num>
  <w:num w:numId="6">
    <w:abstractNumId w:val="11"/>
  </w:num>
  <w:num w:numId="7">
    <w:abstractNumId w:val="14"/>
  </w:num>
  <w:num w:numId="8">
    <w:abstractNumId w:val="8"/>
  </w:num>
  <w:num w:numId="9">
    <w:abstractNumId w:val="7"/>
  </w:num>
  <w:num w:numId="10">
    <w:abstractNumId w:val="4"/>
  </w:num>
  <w:num w:numId="11">
    <w:abstractNumId w:val="15"/>
  </w:num>
  <w:num w:numId="12">
    <w:abstractNumId w:val="9"/>
  </w:num>
  <w:num w:numId="13">
    <w:abstractNumId w:val="13"/>
  </w:num>
  <w:num w:numId="14">
    <w:abstractNumId w:val="0"/>
  </w:num>
  <w:num w:numId="15">
    <w:abstractNumId w:val="6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27DE"/>
    <w:rsid w:val="00090C83"/>
    <w:rsid w:val="001A1D0E"/>
    <w:rsid w:val="001D7131"/>
    <w:rsid w:val="00236138"/>
    <w:rsid w:val="002627DE"/>
    <w:rsid w:val="006F09B4"/>
    <w:rsid w:val="007F07C5"/>
    <w:rsid w:val="0093148A"/>
    <w:rsid w:val="0097142E"/>
    <w:rsid w:val="00B23D3A"/>
    <w:rsid w:val="00BA1045"/>
    <w:rsid w:val="00C30E04"/>
    <w:rsid w:val="00C80961"/>
    <w:rsid w:val="00C92A08"/>
    <w:rsid w:val="00E919E7"/>
    <w:rsid w:val="00E94141"/>
    <w:rsid w:val="00E94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38"/>
  </w:style>
  <w:style w:type="paragraph" w:styleId="1">
    <w:name w:val="heading 1"/>
    <w:basedOn w:val="a"/>
    <w:link w:val="10"/>
    <w:uiPriority w:val="99"/>
    <w:qFormat/>
    <w:rsid w:val="002627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Arial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autoRedefine/>
    <w:uiPriority w:val="99"/>
    <w:qFormat/>
    <w:rsid w:val="002627DE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E36C0A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627DE"/>
    <w:rPr>
      <w:rFonts w:ascii="Times New Roman" w:eastAsia="Times New Roman" w:hAnsi="Times New Roman" w:cs="Arial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9"/>
    <w:rsid w:val="002627DE"/>
    <w:rPr>
      <w:rFonts w:ascii="Cambria" w:eastAsia="Times New Roman" w:hAnsi="Cambria" w:cs="Cambria"/>
      <w:b/>
      <w:bCs/>
      <w:color w:val="E36C0A"/>
      <w:sz w:val="32"/>
      <w:szCs w:val="32"/>
    </w:rPr>
  </w:style>
  <w:style w:type="paragraph" w:styleId="a3">
    <w:name w:val="List Paragraph"/>
    <w:basedOn w:val="a"/>
    <w:uiPriority w:val="99"/>
    <w:qFormat/>
    <w:rsid w:val="002627DE"/>
    <w:pPr>
      <w:spacing w:after="0" w:line="240" w:lineRule="auto"/>
      <w:ind w:left="720"/>
    </w:pPr>
    <w:rPr>
      <w:rFonts w:ascii="Times New Roman" w:eastAsia="Times New Roman" w:hAnsi="Times New Roman" w:cs="Arial"/>
      <w:sz w:val="24"/>
      <w:szCs w:val="24"/>
    </w:rPr>
  </w:style>
  <w:style w:type="character" w:styleId="a4">
    <w:name w:val="Hyperlink"/>
    <w:basedOn w:val="a0"/>
    <w:rsid w:val="002627D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627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7DE"/>
    <w:rPr>
      <w:rFonts w:ascii="Tahoma" w:eastAsia="Times New Roman" w:hAnsi="Tahoma" w:cs="Tahoma"/>
      <w:sz w:val="16"/>
      <w:szCs w:val="16"/>
    </w:rPr>
  </w:style>
  <w:style w:type="character" w:customStyle="1" w:styleId="FontStyle21">
    <w:name w:val="Font Style21"/>
    <w:basedOn w:val="a0"/>
    <w:uiPriority w:val="99"/>
    <w:rsid w:val="002627DE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627DE"/>
    <w:pPr>
      <w:widowControl w:val="0"/>
      <w:autoSpaceDE w:val="0"/>
      <w:autoSpaceDN w:val="0"/>
      <w:adjustRightInd w:val="0"/>
      <w:spacing w:after="0" w:line="435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rsid w:val="002627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2627DE"/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27DE"/>
    <w:rPr>
      <w:rFonts w:ascii="Calibri" w:eastAsia="Times New Roman" w:hAnsi="Calibri" w:cs="Calibri"/>
      <w:sz w:val="20"/>
      <w:szCs w:val="20"/>
      <w:lang w:eastAsia="en-US"/>
    </w:rPr>
  </w:style>
  <w:style w:type="table" w:styleId="aa">
    <w:name w:val="Table Grid"/>
    <w:basedOn w:val="a1"/>
    <w:uiPriority w:val="99"/>
    <w:rsid w:val="002627DE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2627DE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c">
    <w:name w:val="Верхний колонтитул Знак"/>
    <w:basedOn w:val="a0"/>
    <w:link w:val="ab"/>
    <w:uiPriority w:val="99"/>
    <w:rsid w:val="002627DE"/>
    <w:rPr>
      <w:rFonts w:ascii="Calibri" w:eastAsia="Times New Roman" w:hAnsi="Calibri" w:cs="Calibri"/>
    </w:rPr>
  </w:style>
  <w:style w:type="paragraph" w:styleId="ad">
    <w:name w:val="footer"/>
    <w:basedOn w:val="a"/>
    <w:link w:val="ae"/>
    <w:uiPriority w:val="99"/>
    <w:rsid w:val="002627DE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e">
    <w:name w:val="Нижний колонтитул Знак"/>
    <w:basedOn w:val="a0"/>
    <w:link w:val="ad"/>
    <w:uiPriority w:val="99"/>
    <w:rsid w:val="002627DE"/>
    <w:rPr>
      <w:rFonts w:ascii="Calibri" w:eastAsia="Times New Roman" w:hAnsi="Calibri" w:cs="Calibri"/>
    </w:rPr>
  </w:style>
  <w:style w:type="paragraph" w:styleId="af">
    <w:name w:val="annotation subject"/>
    <w:basedOn w:val="a8"/>
    <w:next w:val="a8"/>
    <w:link w:val="af0"/>
    <w:uiPriority w:val="99"/>
    <w:semiHidden/>
    <w:rsid w:val="002627DE"/>
    <w:pPr>
      <w:spacing w:line="240" w:lineRule="auto"/>
    </w:pPr>
    <w:rPr>
      <w:b/>
      <w:bCs/>
      <w:lang w:eastAsia="ru-RU"/>
    </w:rPr>
  </w:style>
  <w:style w:type="character" w:customStyle="1" w:styleId="af0">
    <w:name w:val="Тема примечания Знак"/>
    <w:basedOn w:val="a9"/>
    <w:link w:val="af"/>
    <w:uiPriority w:val="99"/>
    <w:semiHidden/>
    <w:rsid w:val="002627DE"/>
    <w:rPr>
      <w:b/>
      <w:bCs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uiPriority w:val="99"/>
    <w:rsid w:val="002627D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hps">
    <w:name w:val="hps"/>
    <w:uiPriority w:val="99"/>
    <w:rsid w:val="002627DE"/>
  </w:style>
  <w:style w:type="paragraph" w:styleId="af1">
    <w:name w:val="No Spacing"/>
    <w:uiPriority w:val="1"/>
    <w:qFormat/>
    <w:rsid w:val="002627D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2">
    <w:name w:val="FollowedHyperlink"/>
    <w:basedOn w:val="a0"/>
    <w:uiPriority w:val="99"/>
    <w:semiHidden/>
    <w:unhideWhenUsed/>
    <w:rsid w:val="002627D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4148</Words>
  <Characters>23648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"Херсоновская ООШ"</Company>
  <LinksUpToDate>false</LinksUpToDate>
  <CharactersWithSpaces>27741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12</cp:revision>
  <cp:lastPrinted>2014-01-24T06:56:00Z</cp:lastPrinted>
  <dcterms:created xsi:type="dcterms:W3CDTF">2014-01-14T10:36:00Z</dcterms:created>
  <dcterms:modified xsi:type="dcterms:W3CDTF">2014-01-26T10:29:00Z</dcterms:modified>
</cp:coreProperties>
</file>